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5B3C08">
      <w:pPr>
        <w:widowControl w:val="0"/>
        <w:overflowPunct w:val="0"/>
        <w:autoSpaceDE w:val="0"/>
        <w:autoSpaceDN w:val="0"/>
        <w:adjustRightInd w:val="0"/>
        <w:textAlignment w:val="baseline"/>
        <w:rPr>
          <w:rFonts w:hint="eastAsia" w:ascii="黑体" w:hAnsi="黑体" w:eastAsia="黑体" w:cs="黑体"/>
          <w:kern w:val="0"/>
          <w:sz w:val="32"/>
          <w:szCs w:val="32"/>
        </w:rPr>
      </w:pPr>
      <w:r>
        <w:rPr>
          <w:rFonts w:hint="eastAsia" w:ascii="黑体" w:hAnsi="黑体" w:eastAsia="黑体" w:cs="黑体"/>
          <w:kern w:val="0"/>
          <w:sz w:val="32"/>
          <w:szCs w:val="32"/>
        </w:rPr>
        <w:t>附件2</w:t>
      </w:r>
    </w:p>
    <w:p w14:paraId="3E34BF62">
      <w:pPr>
        <w:pStyle w:val="2"/>
        <w:keepNext/>
        <w:keepLines/>
        <w:pageBreakBefore w:val="0"/>
        <w:widowControl w:val="0"/>
        <w:kinsoku/>
        <w:wordWrap/>
        <w:overflowPunct/>
        <w:topLinePunct w:val="0"/>
        <w:autoSpaceDE/>
        <w:autoSpaceDN/>
        <w:bidi w:val="0"/>
        <w:adjustRightInd w:val="0"/>
        <w:snapToGrid/>
        <w:spacing w:before="0" w:line="240" w:lineRule="auto"/>
        <w:textAlignment w:val="auto"/>
        <w:rPr>
          <w:rFonts w:hint="eastAsia"/>
        </w:rPr>
      </w:pPr>
    </w:p>
    <w:p w14:paraId="1270B2DC">
      <w:pPr>
        <w:keepNext w:val="0"/>
        <w:keepLines w:val="0"/>
        <w:pageBreakBefore w:val="0"/>
        <w:widowControl w:val="0"/>
        <w:kinsoku/>
        <w:wordWrap/>
        <w:overflowPunct w:val="0"/>
        <w:topLinePunct w:val="0"/>
        <w:autoSpaceDE w:val="0"/>
        <w:autoSpaceDN w:val="0"/>
        <w:bidi w:val="0"/>
        <w:adjustRightInd w:val="0"/>
        <w:snapToGrid/>
        <w:spacing w:line="640" w:lineRule="exact"/>
        <w:jc w:val="center"/>
        <w:textAlignment w:val="baseline"/>
        <w:rPr>
          <w:rFonts w:ascii="仿宋_GB2312" w:hAnsi="宋体" w:eastAsia="仿宋_GB2312" w:cs="Times New Roman"/>
          <w:kern w:val="0"/>
          <w:sz w:val="44"/>
          <w:szCs w:val="44"/>
        </w:rPr>
      </w:pPr>
      <w:r>
        <w:rPr>
          <w:rFonts w:hint="eastAsia" w:ascii="小标宋" w:hAnsi="Times New Roman" w:eastAsia="小标宋" w:cs="Times New Roman"/>
          <w:kern w:val="0"/>
          <w:sz w:val="44"/>
          <w:szCs w:val="44"/>
        </w:rPr>
        <w:t>“典赞·科普中国”百佳科普</w:t>
      </w:r>
      <w:r>
        <w:rPr>
          <w:rFonts w:ascii="小标宋" w:hAnsi="Times New Roman" w:eastAsia="小标宋" w:cs="Times New Roman"/>
          <w:kern w:val="0"/>
          <w:sz w:val="44"/>
          <w:szCs w:val="44"/>
        </w:rPr>
        <w:t>案例</w:t>
      </w:r>
      <w:r>
        <w:rPr>
          <w:rFonts w:ascii="小标宋" w:hAnsi="Times New Roman" w:eastAsia="小标宋" w:cs="Times New Roman"/>
          <w:kern w:val="0"/>
          <w:sz w:val="44"/>
          <w:szCs w:val="44"/>
        </w:rPr>
        <w:br w:type="textWrapping"/>
      </w:r>
      <w:r>
        <w:rPr>
          <w:rFonts w:hint="eastAsia" w:ascii="小标宋" w:hAnsi="Times New Roman" w:eastAsia="小标宋" w:cs="Times New Roman"/>
          <w:kern w:val="0"/>
          <w:sz w:val="44"/>
          <w:szCs w:val="44"/>
        </w:rPr>
        <w:t>征集工作方案</w:t>
      </w:r>
    </w:p>
    <w:p w14:paraId="1B6FA724">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p>
    <w:p w14:paraId="2252548C">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一、征集内容</w:t>
      </w:r>
    </w:p>
    <w:p w14:paraId="5A01A26B">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本次征集工作共设立科普案例、科学领域流言榜等类别：</w:t>
      </w:r>
    </w:p>
    <w:p w14:paraId="623CF903">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科普案例征集旨在挖掘和宣传一批具有时代感、传播性、引领力的科普实践案例，展示基层科普创新模式，诠释科普服务国家战略、助力民生改善的具体成效。征集分为科普作品传播、科普活动服务、科普阵地建设等三类，由全国学会、省级科协、高校科协、园区（企业）科协以及全民科学素质纲要实施工作办公室成员单位、中国公众科学素质促进联合体成员单位、网络科普联合行动参与平台等单位汇总报送。</w:t>
      </w:r>
      <w:bookmarkStart w:id="0" w:name="OLE_LINK39"/>
    </w:p>
    <w:bookmarkEnd w:id="0"/>
    <w:p w14:paraId="5867DA0E">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科普作品传播类。面向已出版和发布的具有较高传播量和群众口碑的图书、短视频、短剧、影视作品等原创科普资源，征集一批宣介国家重大科技政策和战略部署、引导公众认识和正确使用科技成果、启迪科学思维和科学方法、引领塑造科学文化氛围的作品案例。此类案例应兼具科学性、思想性、艺术性和趣味性。</w:t>
      </w:r>
    </w:p>
    <w:p w14:paraId="716C8119">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科普活动服务类。针对各类科普主体面向公众开展的线上线下科普活动，征集一批以科普讲座、科学实验、科普剧目、科普游戏等群众易于接触、乐于接受、喜于参与的方式组织开展科普活动的优秀案例。此类案例应具备鲜明的科普属性，有利于激发公众对科学的理解和参与热情，特别是激发青少年的好奇心、想象力和探究欲；有利于传播科学的思想和方法，弘扬科学精神和科学家精神。</w:t>
      </w:r>
    </w:p>
    <w:p w14:paraId="2DE3659B">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科普阵地建设类。面向科技馆、科技类博物馆、全国科普教育基地、科技小院等常态化向公众开放的科普阵地，征集展览展陈展示的精品案例、特色科普服务模式等。面向科技企业、高校、园区、科研院所等经常性向公众开放的实验室、生产线等展陈场所，征集科技成果科普化展陈的创新案例等。此类案例应体现较强的科技感、场景感和互动性。</w:t>
      </w:r>
    </w:p>
    <w:p w14:paraId="7D78C43E">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（二）科学领域流言榜通过大数据筛选分析、专家推选产生，无须报送。</w:t>
      </w:r>
    </w:p>
    <w:p w14:paraId="2408EBE1">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二、工作安排</w:t>
      </w:r>
    </w:p>
    <w:p w14:paraId="498B67DB">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本次征集工作将按照“报送-推选-录制-推广”分阶段推进实施。</w:t>
      </w:r>
    </w:p>
    <w:p w14:paraId="31FD08EF">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（一）动员报送阶段（7月上旬）</w:t>
      </w:r>
    </w:p>
    <w:p w14:paraId="330AE77F">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请各单位广泛动员社会力量，深入挖掘本领域和本区域的优秀科普案例，通过征集系统及时报送。每个单位报送同一类型案例不超过2个，案例总数不超过6个，案例应为2024年1月1日以来组织开展的工作。</w:t>
      </w:r>
    </w:p>
    <w:p w14:paraId="0604A8F9">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（二）专家推选阶段（7月中旬）</w:t>
      </w:r>
    </w:p>
    <w:p w14:paraId="4E6FF03F">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组织专家梳理科普案例，最终推选出100个优秀科普案例，其中，科普作品传播类案例不超过40个，科普活动服务类案例不超过30个，科普阵地建设类案例不超过30个。推选出10条具有代表性的科学领域流言，制作流言榜。</w:t>
      </w:r>
    </w:p>
    <w:p w14:paraId="13EC3AFE">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（三）录制播出阶段（7月</w:t>
      </w:r>
      <w:r>
        <w:rPr>
          <w:rFonts w:hint="eastAsia" w:ascii="楷体_GB2312" w:hAnsi="楷体_GB2312" w:eastAsia="楷体_GB2312" w:cs="楷体_GB2312"/>
          <w:sz w:val="32"/>
          <w:szCs w:val="32"/>
          <w:lang w:eastAsia="zh-CN"/>
        </w:rPr>
        <w:t>下</w:t>
      </w:r>
      <w:r>
        <w:rPr>
          <w:rFonts w:hint="eastAsia" w:ascii="楷体_GB2312" w:hAnsi="楷体_GB2312" w:eastAsia="楷体_GB2312" w:cs="楷体_GB2312"/>
          <w:sz w:val="32"/>
          <w:szCs w:val="32"/>
        </w:rPr>
        <w:t>旬-8月底）</w:t>
      </w:r>
    </w:p>
    <w:p w14:paraId="41226C3E">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根据典赞节目制作需要，对推选出的部分优秀案例进行拍摄录制，拟在8月底播出。</w:t>
      </w:r>
    </w:p>
    <w:p w14:paraId="5C2A1513">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（四）推广展示阶段（9月初-10月底）</w:t>
      </w:r>
    </w:p>
    <w:p w14:paraId="7940E264">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通过各大新闻媒体和网络平台对优秀科普案例和科学领域流言榜进一步宣传推广。</w:t>
      </w:r>
    </w:p>
    <w:p w14:paraId="0C5F3E2E">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三、有关要求</w:t>
      </w:r>
    </w:p>
    <w:p w14:paraId="714258A8">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请各单位立足工作实际、紧贴科普工作主线，认真做好科普案例组织报送、宣传展示等工作。优先推选方向正、群众认可、社会效益显著的典型案例。案例应具有较强代表性、创新性、引领性，且可复制、可推广，具有较强的传播价值。</w:t>
      </w:r>
    </w:p>
    <w:p w14:paraId="361E35AE">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（二）请各单位在“典赞·科普中国”案例征集系统（网址</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"http://127.0.0.1:33003/desktop.html" \l "/conversation/1/RY1000001292"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https://rcps.cast.org.cn/c/scene/dz/home</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）注册后填报信息（样表见附件）。填报完成后，下载汇总表打印并加盖公章，扫描上传至系统。</w:t>
      </w:r>
    </w:p>
    <w:p w14:paraId="19AD7456">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（三）案例报送截止日期为2025年7月</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日。</w:t>
      </w:r>
    </w:p>
    <w:p w14:paraId="2024A888">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四、联系方式</w:t>
      </w:r>
    </w:p>
    <w:p w14:paraId="1C9F3A24">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中国科协科普部</w:t>
      </w:r>
    </w:p>
    <w:p w14:paraId="492542C4">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 系 人：侯天运  温  超</w:t>
      </w:r>
    </w:p>
    <w:p w14:paraId="6856BC66">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联系电话：010-68571652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68526368</w:t>
      </w:r>
    </w:p>
    <w:p w14:paraId="766B02E9">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p>
    <w:p w14:paraId="767CDFBC">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中国科协培训和人才服务中心</w:t>
      </w:r>
    </w:p>
    <w:p w14:paraId="100DFD62">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 系 人：姚晓洁  赵  鹏</w:t>
      </w:r>
    </w:p>
    <w:p w14:paraId="0274314E">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联系电话：010-62165285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62166285</w:t>
      </w:r>
    </w:p>
    <w:p w14:paraId="72696647">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p>
    <w:p w14:paraId="3141D5AF">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附：2025年度“典赞·科普中国”科普案例信息表</w:t>
      </w:r>
    </w:p>
    <w:p w14:paraId="437ECA9F">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p>
    <w:p w14:paraId="13928D33">
      <w:pPr>
        <w:keepNext w:val="0"/>
        <w:keepLines w:val="0"/>
        <w:pageBreakBefore w:val="0"/>
        <w:widowControl w:val="0"/>
        <w:kinsoku/>
        <w:wordWrap/>
        <w:overflowPunct/>
        <w:topLinePunct w:val="0"/>
        <w:autoSpaceDE/>
        <w:autoSpaceDN/>
        <w:bidi w:val="0"/>
        <w:adjustRightInd/>
        <w:snapToGrid/>
        <w:spacing w:line="580" w:lineRule="exact"/>
        <w:textAlignment w:val="auto"/>
        <w:rPr>
          <w:rFonts w:ascii="黑体" w:hAnsi="黑体" w:eastAsia="黑体" w:cs="Times New Roman"/>
          <w:kern w:val="0"/>
          <w:sz w:val="32"/>
          <w:szCs w:val="32"/>
        </w:rPr>
      </w:pPr>
      <w:r>
        <w:rPr>
          <w:rFonts w:hint="eastAsia" w:ascii="仿宋_GB2312" w:hAnsi="仿宋_GB2312" w:eastAsia="仿宋_GB2312" w:cs="仿宋_GB2312"/>
          <w:sz w:val="32"/>
          <w:szCs w:val="32"/>
        </w:rPr>
        <w:br w:type="page"/>
      </w:r>
      <w:r>
        <w:rPr>
          <w:rFonts w:hint="eastAsia" w:ascii="黑体" w:hAnsi="黑体" w:eastAsia="黑体" w:cs="Times New Roman"/>
          <w:kern w:val="0"/>
          <w:sz w:val="32"/>
          <w:szCs w:val="32"/>
        </w:rPr>
        <w:t>附</w:t>
      </w:r>
    </w:p>
    <w:p w14:paraId="7E282B23">
      <w:pPr>
        <w:widowControl w:val="0"/>
        <w:overflowPunct/>
        <w:autoSpaceDE/>
        <w:autoSpaceDN/>
        <w:adjustRightInd/>
        <w:spacing w:before="120" w:beforeLines="50" w:after="360" w:afterLines="150" w:line="700" w:lineRule="exact"/>
        <w:jc w:val="center"/>
        <w:textAlignment w:val="auto"/>
        <w:rPr>
          <w:rFonts w:hint="eastAsia" w:ascii="方正小标宋_GBK" w:hAnsi="方正小标宋_GBK" w:eastAsia="方正小标宋_GBK" w:cs="方正小标宋_GBK"/>
          <w:kern w:val="0"/>
          <w:sz w:val="44"/>
          <w:szCs w:val="44"/>
        </w:rPr>
      </w:pPr>
      <w:r>
        <w:rPr>
          <w:rFonts w:hint="eastAsia" w:ascii="方正小标宋_GBK" w:hAnsi="方正小标宋_GBK" w:eastAsia="方正小标宋_GBK" w:cs="方正小标宋_GBK"/>
          <w:kern w:val="0"/>
          <w:sz w:val="44"/>
          <w:szCs w:val="44"/>
        </w:rPr>
        <w:t>2025年度“典赞•科普中国”科普案例</w:t>
      </w:r>
      <w:r>
        <w:rPr>
          <w:rFonts w:hint="eastAsia" w:ascii="方正小标宋_GBK" w:hAnsi="方正小标宋_GBK" w:eastAsia="方正小标宋_GBK" w:cs="方正小标宋_GBK"/>
          <w:kern w:val="0"/>
          <w:sz w:val="44"/>
          <w:szCs w:val="44"/>
        </w:rPr>
        <w:br w:type="textWrapping"/>
      </w:r>
      <w:r>
        <w:rPr>
          <w:rFonts w:hint="eastAsia" w:ascii="方正小标宋_GBK" w:hAnsi="方正小标宋_GBK" w:eastAsia="方正小标宋_GBK" w:cs="方正小标宋_GBK"/>
          <w:kern w:val="0"/>
          <w:sz w:val="44"/>
          <w:szCs w:val="44"/>
        </w:rPr>
        <w:t>信息表</w:t>
      </w:r>
    </w:p>
    <w:tbl>
      <w:tblPr>
        <w:tblStyle w:val="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79"/>
        <w:gridCol w:w="1726"/>
        <w:gridCol w:w="1611"/>
        <w:gridCol w:w="2075"/>
        <w:gridCol w:w="1759"/>
      </w:tblGrid>
      <w:tr w14:paraId="63D347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679" w:type="dxa"/>
            <w:tcBorders>
              <w:top w:val="single" w:color="auto" w:sz="4" w:space="0"/>
              <w:left w:val="single" w:color="auto" w:sz="4" w:space="0"/>
              <w:bottom w:val="single" w:color="auto" w:sz="4" w:space="0"/>
              <w:right w:val="single" w:color="auto" w:sz="4" w:space="0"/>
            </w:tcBorders>
            <w:noWrap w:val="0"/>
            <w:vAlign w:val="center"/>
          </w:tcPr>
          <w:p w14:paraId="120DB28B">
            <w:pPr>
              <w:widowControl w:val="0"/>
              <w:overflowPunct w:val="0"/>
              <w:autoSpaceDE w:val="0"/>
              <w:autoSpaceDN w:val="0"/>
              <w:adjustRightInd w:val="0"/>
              <w:spacing w:line="320" w:lineRule="exact"/>
              <w:jc w:val="center"/>
              <w:textAlignment w:val="baseline"/>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案例名称</w:t>
            </w:r>
          </w:p>
        </w:tc>
        <w:tc>
          <w:tcPr>
            <w:tcW w:w="5412" w:type="dxa"/>
            <w:gridSpan w:val="3"/>
            <w:tcBorders>
              <w:top w:val="single" w:color="auto" w:sz="4" w:space="0"/>
              <w:left w:val="single" w:color="auto" w:sz="4" w:space="0"/>
              <w:bottom w:val="single" w:color="auto" w:sz="4" w:space="0"/>
              <w:right w:val="single" w:color="auto" w:sz="4" w:space="0"/>
            </w:tcBorders>
            <w:noWrap w:val="0"/>
            <w:vAlign w:val="center"/>
          </w:tcPr>
          <w:p w14:paraId="31688BF8">
            <w:pPr>
              <w:widowControl w:val="0"/>
              <w:overflowPunct w:val="0"/>
              <w:autoSpaceDE w:val="0"/>
              <w:autoSpaceDN w:val="0"/>
              <w:adjustRightInd w:val="0"/>
              <w:spacing w:line="560" w:lineRule="exact"/>
              <w:jc w:val="center"/>
              <w:textAlignment w:val="baseline"/>
              <w:rPr>
                <w:rFonts w:ascii="宋体" w:hAnsi="宋体" w:eastAsia="宋体" w:cs="Times New Roman"/>
                <w:bCs/>
                <w:color w:val="000000"/>
                <w:kern w:val="0"/>
                <w:sz w:val="28"/>
                <w:szCs w:val="28"/>
              </w:rPr>
            </w:pPr>
            <w:r>
              <w:rPr>
                <w:rFonts w:hint="eastAsia" w:ascii="楷体_GB2312" w:hAnsi="楷体" w:eastAsia="楷体_GB2312" w:cs="Times New Roman"/>
                <w:color w:val="7F7F7F"/>
                <w:kern w:val="0"/>
                <w:sz w:val="28"/>
                <w:szCs w:val="28"/>
              </w:rPr>
              <w:t>（20字以</w:t>
            </w:r>
            <w:r>
              <w:rPr>
                <w:rFonts w:ascii="楷体_GB2312" w:hAnsi="楷体" w:eastAsia="楷体_GB2312" w:cs="Times New Roman"/>
                <w:color w:val="7F7F7F"/>
                <w:kern w:val="0"/>
                <w:sz w:val="28"/>
                <w:szCs w:val="28"/>
              </w:rPr>
              <w:t>内）</w:t>
            </w:r>
          </w:p>
        </w:tc>
        <w:tc>
          <w:tcPr>
            <w:tcW w:w="1759" w:type="dxa"/>
            <w:vMerge w:val="restart"/>
            <w:tcBorders>
              <w:top w:val="single" w:color="auto" w:sz="4" w:space="0"/>
              <w:left w:val="single" w:color="auto" w:sz="4" w:space="0"/>
              <w:right w:val="single" w:color="auto" w:sz="4" w:space="0"/>
            </w:tcBorders>
            <w:noWrap w:val="0"/>
            <w:vAlign w:val="center"/>
          </w:tcPr>
          <w:p w14:paraId="2A371B5B">
            <w:pPr>
              <w:widowControl w:val="0"/>
              <w:overflowPunct w:val="0"/>
              <w:autoSpaceDE w:val="0"/>
              <w:autoSpaceDN w:val="0"/>
              <w:adjustRightInd w:val="0"/>
              <w:spacing w:line="320" w:lineRule="exact"/>
              <w:jc w:val="center"/>
              <w:textAlignment w:val="baseline"/>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照片</w:t>
            </w:r>
          </w:p>
          <w:p w14:paraId="173B2BE1">
            <w:pPr>
              <w:widowControl w:val="0"/>
              <w:overflowPunct w:val="0"/>
              <w:autoSpaceDE w:val="0"/>
              <w:autoSpaceDN w:val="0"/>
              <w:adjustRightInd w:val="0"/>
              <w:spacing w:line="320" w:lineRule="exact"/>
              <w:jc w:val="center"/>
              <w:textAlignment w:val="baseline"/>
              <w:rPr>
                <w:rFonts w:ascii="宋体" w:hAnsi="宋体" w:eastAsia="宋体" w:cs="Times New Roman"/>
                <w:color w:val="000000"/>
                <w:kern w:val="0"/>
                <w:sz w:val="28"/>
                <w:szCs w:val="28"/>
              </w:rPr>
            </w:pPr>
            <w:r>
              <w:rPr>
                <w:rFonts w:hint="eastAsia" w:ascii="小标宋" w:hAnsi="宋体" w:eastAsia="小标宋" w:cs="Times New Roman"/>
                <w:color w:val="7F7F7F"/>
                <w:kern w:val="0"/>
                <w:sz w:val="18"/>
                <w:szCs w:val="18"/>
              </w:rPr>
              <w:t>（案例相关横、竖版照片各一张，大小不超过1M）</w:t>
            </w:r>
          </w:p>
        </w:tc>
      </w:tr>
      <w:tr w14:paraId="5E755C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1" w:hRule="atLeast"/>
          <w:jc w:val="center"/>
        </w:trPr>
        <w:tc>
          <w:tcPr>
            <w:tcW w:w="1679" w:type="dxa"/>
            <w:tcBorders>
              <w:top w:val="single" w:color="auto" w:sz="4" w:space="0"/>
              <w:left w:val="single" w:color="auto" w:sz="4" w:space="0"/>
              <w:bottom w:val="single" w:color="auto" w:sz="4" w:space="0"/>
              <w:right w:val="single" w:color="auto" w:sz="4" w:space="0"/>
            </w:tcBorders>
            <w:noWrap w:val="0"/>
            <w:vAlign w:val="center"/>
          </w:tcPr>
          <w:p w14:paraId="24F874F2">
            <w:pPr>
              <w:widowControl w:val="0"/>
              <w:overflowPunct w:val="0"/>
              <w:autoSpaceDE w:val="0"/>
              <w:autoSpaceDN w:val="0"/>
              <w:adjustRightInd w:val="0"/>
              <w:spacing w:line="320" w:lineRule="exact"/>
              <w:jc w:val="center"/>
              <w:textAlignment w:val="baseline"/>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实施单位</w:t>
            </w:r>
          </w:p>
        </w:tc>
        <w:tc>
          <w:tcPr>
            <w:tcW w:w="1726" w:type="dxa"/>
            <w:tcBorders>
              <w:top w:val="single" w:color="auto" w:sz="4" w:space="0"/>
              <w:left w:val="single" w:color="auto" w:sz="4" w:space="0"/>
              <w:bottom w:val="single" w:color="auto" w:sz="4" w:space="0"/>
              <w:right w:val="single" w:color="auto" w:sz="4" w:space="0"/>
            </w:tcBorders>
            <w:noWrap w:val="0"/>
            <w:vAlign w:val="center"/>
          </w:tcPr>
          <w:p w14:paraId="0443BE9E">
            <w:pPr>
              <w:widowControl w:val="0"/>
              <w:overflowPunct w:val="0"/>
              <w:autoSpaceDE w:val="0"/>
              <w:autoSpaceDN w:val="0"/>
              <w:adjustRightInd w:val="0"/>
              <w:spacing w:line="320" w:lineRule="exact"/>
              <w:jc w:val="center"/>
              <w:textAlignment w:val="baseline"/>
              <w:rPr>
                <w:rFonts w:ascii="宋体" w:hAnsi="宋体" w:eastAsia="宋体" w:cs="Times New Roman"/>
                <w:color w:val="000000"/>
                <w:kern w:val="0"/>
                <w:sz w:val="28"/>
                <w:szCs w:val="28"/>
              </w:rPr>
            </w:pPr>
          </w:p>
        </w:tc>
        <w:tc>
          <w:tcPr>
            <w:tcW w:w="1611" w:type="dxa"/>
            <w:tcBorders>
              <w:top w:val="single" w:color="auto" w:sz="4" w:space="0"/>
              <w:left w:val="single" w:color="auto" w:sz="4" w:space="0"/>
              <w:bottom w:val="single" w:color="auto" w:sz="4" w:space="0"/>
              <w:right w:val="single" w:color="auto" w:sz="4" w:space="0"/>
            </w:tcBorders>
            <w:noWrap w:val="0"/>
            <w:vAlign w:val="center"/>
          </w:tcPr>
          <w:p w14:paraId="7E518437">
            <w:pPr>
              <w:widowControl w:val="0"/>
              <w:overflowPunct w:val="0"/>
              <w:autoSpaceDE w:val="0"/>
              <w:autoSpaceDN w:val="0"/>
              <w:adjustRightInd w:val="0"/>
              <w:spacing w:line="320" w:lineRule="exact"/>
              <w:jc w:val="center"/>
              <w:textAlignment w:val="baseline"/>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单位地址</w:t>
            </w:r>
          </w:p>
        </w:tc>
        <w:tc>
          <w:tcPr>
            <w:tcW w:w="2075" w:type="dxa"/>
            <w:tcBorders>
              <w:top w:val="single" w:color="auto" w:sz="4" w:space="0"/>
              <w:left w:val="single" w:color="auto" w:sz="4" w:space="0"/>
              <w:bottom w:val="single" w:color="auto" w:sz="4" w:space="0"/>
              <w:right w:val="single" w:color="auto" w:sz="4" w:space="0"/>
            </w:tcBorders>
            <w:noWrap w:val="0"/>
            <w:vAlign w:val="center"/>
          </w:tcPr>
          <w:p w14:paraId="7AF5D505">
            <w:pPr>
              <w:widowControl w:val="0"/>
              <w:overflowPunct w:val="0"/>
              <w:autoSpaceDE w:val="0"/>
              <w:autoSpaceDN w:val="0"/>
              <w:adjustRightInd w:val="0"/>
              <w:spacing w:line="320" w:lineRule="exact"/>
              <w:jc w:val="center"/>
              <w:textAlignment w:val="baseline"/>
              <w:rPr>
                <w:rFonts w:ascii="宋体" w:hAnsi="宋体" w:eastAsia="宋体" w:cs="Times New Roman"/>
                <w:color w:val="000000"/>
                <w:kern w:val="0"/>
                <w:sz w:val="28"/>
                <w:szCs w:val="28"/>
              </w:rPr>
            </w:pPr>
          </w:p>
        </w:tc>
        <w:tc>
          <w:tcPr>
            <w:tcW w:w="1759" w:type="dxa"/>
            <w:vMerge w:val="continue"/>
            <w:tcBorders>
              <w:top w:val="single" w:color="auto" w:sz="4" w:space="0"/>
              <w:left w:val="single" w:color="auto" w:sz="4" w:space="0"/>
              <w:right w:val="single" w:color="auto" w:sz="4" w:space="0"/>
            </w:tcBorders>
            <w:noWrap w:val="0"/>
            <w:vAlign w:val="center"/>
          </w:tcPr>
          <w:p w14:paraId="480C0DC3">
            <w:pPr>
              <w:widowControl w:val="0"/>
              <w:overflowPunct w:val="0"/>
              <w:autoSpaceDE w:val="0"/>
              <w:autoSpaceDN w:val="0"/>
              <w:adjustRightInd w:val="0"/>
              <w:spacing w:line="320" w:lineRule="exact"/>
              <w:jc w:val="center"/>
              <w:textAlignment w:val="baseline"/>
              <w:rPr>
                <w:rFonts w:ascii="小标宋" w:hAnsi="宋体" w:eastAsia="小标宋" w:cs="Times New Roman"/>
                <w:color w:val="000000"/>
                <w:kern w:val="0"/>
                <w:sz w:val="28"/>
                <w:szCs w:val="28"/>
              </w:rPr>
            </w:pPr>
          </w:p>
        </w:tc>
      </w:tr>
      <w:tr w14:paraId="1DF5BB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679" w:type="dxa"/>
            <w:tcBorders>
              <w:top w:val="single" w:color="auto" w:sz="4" w:space="0"/>
              <w:left w:val="single" w:color="auto" w:sz="4" w:space="0"/>
              <w:bottom w:val="single" w:color="auto" w:sz="4" w:space="0"/>
              <w:right w:val="single" w:color="auto" w:sz="4" w:space="0"/>
            </w:tcBorders>
            <w:noWrap w:val="0"/>
            <w:vAlign w:val="center"/>
          </w:tcPr>
          <w:p w14:paraId="0990B1C9">
            <w:pPr>
              <w:widowControl w:val="0"/>
              <w:overflowPunct w:val="0"/>
              <w:autoSpaceDE w:val="0"/>
              <w:autoSpaceDN w:val="0"/>
              <w:adjustRightInd w:val="0"/>
              <w:spacing w:line="320" w:lineRule="exact"/>
              <w:jc w:val="center"/>
              <w:textAlignment w:val="baseline"/>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联系人</w:t>
            </w:r>
          </w:p>
        </w:tc>
        <w:tc>
          <w:tcPr>
            <w:tcW w:w="1726" w:type="dxa"/>
            <w:tcBorders>
              <w:top w:val="single" w:color="auto" w:sz="4" w:space="0"/>
              <w:left w:val="single" w:color="auto" w:sz="4" w:space="0"/>
              <w:bottom w:val="single" w:color="auto" w:sz="4" w:space="0"/>
              <w:right w:val="single" w:color="auto" w:sz="4" w:space="0"/>
            </w:tcBorders>
            <w:noWrap w:val="0"/>
            <w:vAlign w:val="center"/>
          </w:tcPr>
          <w:p w14:paraId="779B4F52">
            <w:pPr>
              <w:widowControl w:val="0"/>
              <w:overflowPunct w:val="0"/>
              <w:autoSpaceDE w:val="0"/>
              <w:autoSpaceDN w:val="0"/>
              <w:adjustRightInd w:val="0"/>
              <w:spacing w:line="560" w:lineRule="exact"/>
              <w:jc w:val="center"/>
              <w:textAlignment w:val="baseline"/>
              <w:rPr>
                <w:rFonts w:ascii="宋体" w:hAnsi="宋体" w:eastAsia="宋体" w:cs="Times New Roman"/>
                <w:bCs/>
                <w:color w:val="000000"/>
                <w:kern w:val="0"/>
                <w:sz w:val="28"/>
                <w:szCs w:val="28"/>
              </w:rPr>
            </w:pPr>
          </w:p>
        </w:tc>
        <w:tc>
          <w:tcPr>
            <w:tcW w:w="1611" w:type="dxa"/>
            <w:tcBorders>
              <w:top w:val="single" w:color="auto" w:sz="4" w:space="0"/>
              <w:left w:val="single" w:color="auto" w:sz="4" w:space="0"/>
              <w:bottom w:val="single" w:color="auto" w:sz="4" w:space="0"/>
              <w:right w:val="single" w:color="auto" w:sz="4" w:space="0"/>
            </w:tcBorders>
            <w:noWrap w:val="0"/>
            <w:vAlign w:val="center"/>
          </w:tcPr>
          <w:p w14:paraId="35AF3954">
            <w:pPr>
              <w:widowControl w:val="0"/>
              <w:overflowPunct w:val="0"/>
              <w:autoSpaceDE w:val="0"/>
              <w:autoSpaceDN w:val="0"/>
              <w:adjustRightInd w:val="0"/>
              <w:spacing w:line="320" w:lineRule="exact"/>
              <w:jc w:val="center"/>
              <w:textAlignment w:val="baseline"/>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职务/职称</w:t>
            </w:r>
          </w:p>
        </w:tc>
        <w:tc>
          <w:tcPr>
            <w:tcW w:w="2075" w:type="dxa"/>
            <w:tcBorders>
              <w:top w:val="single" w:color="auto" w:sz="4" w:space="0"/>
              <w:left w:val="single" w:color="auto" w:sz="4" w:space="0"/>
              <w:bottom w:val="single" w:color="auto" w:sz="4" w:space="0"/>
              <w:right w:val="single" w:color="auto" w:sz="4" w:space="0"/>
            </w:tcBorders>
            <w:noWrap w:val="0"/>
            <w:vAlign w:val="center"/>
          </w:tcPr>
          <w:p w14:paraId="3229A8F8">
            <w:pPr>
              <w:widowControl w:val="0"/>
              <w:overflowPunct w:val="0"/>
              <w:autoSpaceDE w:val="0"/>
              <w:autoSpaceDN w:val="0"/>
              <w:adjustRightInd w:val="0"/>
              <w:jc w:val="left"/>
              <w:textAlignment w:val="baseline"/>
              <w:rPr>
                <w:rFonts w:ascii="宋体" w:hAnsi="宋体" w:eastAsia="宋体" w:cs="Times New Roman"/>
                <w:bCs/>
                <w:color w:val="000000"/>
                <w:kern w:val="0"/>
                <w:sz w:val="28"/>
                <w:szCs w:val="28"/>
              </w:rPr>
            </w:pPr>
          </w:p>
        </w:tc>
        <w:tc>
          <w:tcPr>
            <w:tcW w:w="1759" w:type="dxa"/>
            <w:vMerge w:val="continue"/>
            <w:tcBorders>
              <w:left w:val="single" w:color="auto" w:sz="4" w:space="0"/>
              <w:right w:val="single" w:color="auto" w:sz="4" w:space="0"/>
            </w:tcBorders>
            <w:noWrap w:val="0"/>
            <w:vAlign w:val="center"/>
          </w:tcPr>
          <w:p w14:paraId="6F0E174E">
            <w:pPr>
              <w:widowControl w:val="0"/>
              <w:overflowPunct w:val="0"/>
              <w:autoSpaceDE w:val="0"/>
              <w:autoSpaceDN w:val="0"/>
              <w:adjustRightInd w:val="0"/>
              <w:jc w:val="left"/>
              <w:textAlignment w:val="baseline"/>
              <w:rPr>
                <w:rFonts w:ascii="宋体" w:hAnsi="宋体" w:eastAsia="宋体" w:cs="Times New Roman"/>
                <w:color w:val="000000"/>
                <w:kern w:val="0"/>
                <w:sz w:val="28"/>
                <w:szCs w:val="28"/>
              </w:rPr>
            </w:pPr>
          </w:p>
        </w:tc>
      </w:tr>
      <w:tr w14:paraId="2ACD88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679" w:type="dxa"/>
            <w:tcBorders>
              <w:top w:val="single" w:color="auto" w:sz="4" w:space="0"/>
              <w:left w:val="single" w:color="auto" w:sz="4" w:space="0"/>
              <w:bottom w:val="single" w:color="auto" w:sz="4" w:space="0"/>
              <w:right w:val="single" w:color="auto" w:sz="4" w:space="0"/>
            </w:tcBorders>
            <w:noWrap w:val="0"/>
            <w:vAlign w:val="center"/>
          </w:tcPr>
          <w:p w14:paraId="23A2CC3D">
            <w:pPr>
              <w:widowControl w:val="0"/>
              <w:overflowPunct w:val="0"/>
              <w:autoSpaceDE w:val="0"/>
              <w:autoSpaceDN w:val="0"/>
              <w:adjustRightInd w:val="0"/>
              <w:spacing w:line="320" w:lineRule="exact"/>
              <w:jc w:val="center"/>
              <w:textAlignment w:val="baseline"/>
              <w:rPr>
                <w:rFonts w:ascii="宋体" w:hAnsi="宋体" w:eastAsia="宋体" w:cs="Times New Roman"/>
                <w:bCs/>
                <w:color w:val="000000"/>
                <w:kern w:val="0"/>
                <w:sz w:val="28"/>
                <w:szCs w:val="28"/>
              </w:rPr>
            </w:pPr>
            <w:r>
              <w:rPr>
                <w:rFonts w:hint="eastAsia" w:ascii="仿宋_GB2312" w:hAnsi="仿宋_GB2312" w:eastAsia="仿宋_GB2312" w:cs="仿宋_GB2312"/>
                <w:color w:val="000000"/>
                <w:kern w:val="0"/>
                <w:sz w:val="28"/>
                <w:szCs w:val="28"/>
              </w:rPr>
              <w:t>联系电话</w:t>
            </w:r>
          </w:p>
        </w:tc>
        <w:tc>
          <w:tcPr>
            <w:tcW w:w="1726" w:type="dxa"/>
            <w:tcBorders>
              <w:top w:val="single" w:color="auto" w:sz="4" w:space="0"/>
              <w:left w:val="single" w:color="auto" w:sz="4" w:space="0"/>
              <w:bottom w:val="single" w:color="auto" w:sz="4" w:space="0"/>
              <w:right w:val="single" w:color="auto" w:sz="4" w:space="0"/>
            </w:tcBorders>
            <w:noWrap w:val="0"/>
            <w:vAlign w:val="center"/>
          </w:tcPr>
          <w:p w14:paraId="1CFF3273">
            <w:pPr>
              <w:widowControl w:val="0"/>
              <w:overflowPunct w:val="0"/>
              <w:autoSpaceDE w:val="0"/>
              <w:autoSpaceDN w:val="0"/>
              <w:adjustRightInd w:val="0"/>
              <w:spacing w:line="560" w:lineRule="exact"/>
              <w:jc w:val="center"/>
              <w:textAlignment w:val="baseline"/>
              <w:rPr>
                <w:rFonts w:ascii="宋体" w:hAnsi="宋体" w:eastAsia="宋体" w:cs="Times New Roman"/>
                <w:bCs/>
                <w:color w:val="000000"/>
                <w:kern w:val="0"/>
                <w:sz w:val="28"/>
                <w:szCs w:val="28"/>
              </w:rPr>
            </w:pPr>
          </w:p>
        </w:tc>
        <w:tc>
          <w:tcPr>
            <w:tcW w:w="1611" w:type="dxa"/>
            <w:tcBorders>
              <w:top w:val="single" w:color="auto" w:sz="4" w:space="0"/>
              <w:left w:val="single" w:color="auto" w:sz="4" w:space="0"/>
              <w:bottom w:val="single" w:color="auto" w:sz="4" w:space="0"/>
              <w:right w:val="single" w:color="auto" w:sz="4" w:space="0"/>
            </w:tcBorders>
            <w:noWrap w:val="0"/>
            <w:vAlign w:val="center"/>
          </w:tcPr>
          <w:p w14:paraId="0F09F25A">
            <w:pPr>
              <w:widowControl w:val="0"/>
              <w:overflowPunct w:val="0"/>
              <w:autoSpaceDE w:val="0"/>
              <w:autoSpaceDN w:val="0"/>
              <w:adjustRightInd w:val="0"/>
              <w:spacing w:line="320" w:lineRule="exact"/>
              <w:jc w:val="center"/>
              <w:textAlignment w:val="baseline"/>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lang w:eastAsia="zh-CN"/>
              </w:rPr>
              <w:t>电子</w:t>
            </w:r>
            <w:r>
              <w:rPr>
                <w:rFonts w:hint="eastAsia" w:ascii="仿宋_GB2312" w:hAnsi="仿宋_GB2312" w:eastAsia="仿宋_GB2312" w:cs="仿宋_GB2312"/>
                <w:color w:val="000000"/>
                <w:kern w:val="0"/>
                <w:sz w:val="28"/>
                <w:szCs w:val="28"/>
              </w:rPr>
              <w:t>邮箱</w:t>
            </w:r>
          </w:p>
        </w:tc>
        <w:tc>
          <w:tcPr>
            <w:tcW w:w="2075" w:type="dxa"/>
            <w:tcBorders>
              <w:top w:val="single" w:color="auto" w:sz="4" w:space="0"/>
              <w:left w:val="single" w:color="auto" w:sz="4" w:space="0"/>
              <w:bottom w:val="single" w:color="auto" w:sz="4" w:space="0"/>
              <w:right w:val="single" w:color="auto" w:sz="4" w:space="0"/>
            </w:tcBorders>
            <w:noWrap w:val="0"/>
            <w:vAlign w:val="center"/>
          </w:tcPr>
          <w:p w14:paraId="7C855749">
            <w:pPr>
              <w:widowControl w:val="0"/>
              <w:overflowPunct w:val="0"/>
              <w:autoSpaceDE w:val="0"/>
              <w:autoSpaceDN w:val="0"/>
              <w:adjustRightInd w:val="0"/>
              <w:jc w:val="left"/>
              <w:textAlignment w:val="baseline"/>
              <w:rPr>
                <w:rFonts w:ascii="宋体" w:hAnsi="宋体" w:eastAsia="宋体" w:cs="Times New Roman"/>
                <w:bCs/>
                <w:color w:val="000000"/>
                <w:kern w:val="0"/>
                <w:sz w:val="28"/>
                <w:szCs w:val="28"/>
              </w:rPr>
            </w:pPr>
          </w:p>
        </w:tc>
        <w:tc>
          <w:tcPr>
            <w:tcW w:w="1759" w:type="dxa"/>
            <w:vMerge w:val="continue"/>
            <w:tcBorders>
              <w:left w:val="single" w:color="auto" w:sz="4" w:space="0"/>
              <w:bottom w:val="single" w:color="auto" w:sz="4" w:space="0"/>
              <w:right w:val="single" w:color="auto" w:sz="4" w:space="0"/>
            </w:tcBorders>
            <w:noWrap w:val="0"/>
            <w:vAlign w:val="center"/>
          </w:tcPr>
          <w:p w14:paraId="4C11C8EB">
            <w:pPr>
              <w:widowControl w:val="0"/>
              <w:overflowPunct w:val="0"/>
              <w:autoSpaceDE w:val="0"/>
              <w:autoSpaceDN w:val="0"/>
              <w:adjustRightInd w:val="0"/>
              <w:jc w:val="left"/>
              <w:textAlignment w:val="baseline"/>
              <w:rPr>
                <w:rFonts w:ascii="宋体" w:hAnsi="宋体" w:eastAsia="宋体" w:cs="Times New Roman"/>
                <w:color w:val="000000"/>
                <w:kern w:val="0"/>
                <w:sz w:val="28"/>
                <w:szCs w:val="28"/>
              </w:rPr>
            </w:pPr>
          </w:p>
        </w:tc>
      </w:tr>
      <w:tr w14:paraId="77CA2A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5" w:hRule="atLeast"/>
          <w:jc w:val="center"/>
        </w:trPr>
        <w:tc>
          <w:tcPr>
            <w:tcW w:w="1679" w:type="dxa"/>
            <w:tcBorders>
              <w:top w:val="single" w:color="auto" w:sz="4" w:space="0"/>
              <w:left w:val="single" w:color="auto" w:sz="4" w:space="0"/>
              <w:bottom w:val="single" w:color="auto" w:sz="4" w:space="0"/>
              <w:right w:val="single" w:color="auto" w:sz="4" w:space="0"/>
            </w:tcBorders>
            <w:noWrap w:val="0"/>
            <w:vAlign w:val="center"/>
          </w:tcPr>
          <w:p w14:paraId="326F9BC3">
            <w:pPr>
              <w:widowControl w:val="0"/>
              <w:overflowPunct w:val="0"/>
              <w:autoSpaceDE w:val="0"/>
              <w:autoSpaceDN w:val="0"/>
              <w:adjustRightInd w:val="0"/>
              <w:spacing w:line="320" w:lineRule="exact"/>
              <w:jc w:val="center"/>
              <w:textAlignment w:val="baseline"/>
              <w:rPr>
                <w:rFonts w:hint="eastAsia" w:ascii="仿宋_GB2312" w:hAnsi="仿宋_GB2312" w:eastAsia="仿宋_GB2312" w:cs="仿宋_GB2312"/>
                <w:bCs/>
                <w:color w:val="000000"/>
                <w:kern w:val="0"/>
                <w:sz w:val="28"/>
                <w:szCs w:val="28"/>
              </w:rPr>
            </w:pPr>
            <w:r>
              <w:rPr>
                <w:rFonts w:hint="eastAsia" w:ascii="仿宋_GB2312" w:hAnsi="仿宋_GB2312" w:eastAsia="仿宋_GB2312" w:cs="仿宋_GB2312"/>
                <w:bCs/>
                <w:color w:val="000000"/>
                <w:kern w:val="0"/>
                <w:sz w:val="28"/>
                <w:szCs w:val="28"/>
              </w:rPr>
              <w:t>所属级别</w:t>
            </w:r>
          </w:p>
        </w:tc>
        <w:tc>
          <w:tcPr>
            <w:tcW w:w="7171" w:type="dxa"/>
            <w:gridSpan w:val="4"/>
            <w:tcBorders>
              <w:top w:val="single" w:color="auto" w:sz="4" w:space="0"/>
              <w:left w:val="single" w:color="auto" w:sz="4" w:space="0"/>
              <w:bottom w:val="single" w:color="auto" w:sz="4" w:space="0"/>
              <w:right w:val="single" w:color="auto" w:sz="4" w:space="0"/>
            </w:tcBorders>
            <w:noWrap w:val="0"/>
            <w:vAlign w:val="center"/>
          </w:tcPr>
          <w:p w14:paraId="1F39FF64">
            <w:pPr>
              <w:widowControl w:val="0"/>
              <w:overflowPunct w:val="0"/>
              <w:autoSpaceDE w:val="0"/>
              <w:autoSpaceDN w:val="0"/>
              <w:adjustRightInd w:val="0"/>
              <w:spacing w:line="320" w:lineRule="exact"/>
              <w:textAlignment w:val="baseline"/>
              <w:rPr>
                <w:rFonts w:hint="eastAsia" w:ascii="仿宋_GB2312" w:hAnsi="仿宋_GB2312" w:eastAsia="仿宋_GB2312" w:cs="仿宋_GB2312"/>
                <w:bCs/>
                <w:color w:val="000000"/>
                <w:kern w:val="0"/>
                <w:sz w:val="28"/>
                <w:szCs w:val="28"/>
              </w:rPr>
            </w:pPr>
            <w:r>
              <w:rPr>
                <w:rFonts w:hint="eastAsia" w:ascii="仿宋_GB2312" w:hAnsi="仿宋_GB2312" w:eastAsia="仿宋_GB2312" w:cs="仿宋_GB2312"/>
                <w:bCs/>
                <w:color w:val="000000"/>
                <w:kern w:val="0"/>
                <w:sz w:val="28"/>
                <w:szCs w:val="28"/>
              </w:rPr>
              <w:t>□中央级 □省级 □地市级 □县级</w:t>
            </w:r>
          </w:p>
        </w:tc>
      </w:tr>
      <w:tr w14:paraId="1B92ED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17" w:hRule="atLeast"/>
          <w:jc w:val="center"/>
        </w:trPr>
        <w:tc>
          <w:tcPr>
            <w:tcW w:w="1679" w:type="dxa"/>
            <w:tcBorders>
              <w:top w:val="single" w:color="auto" w:sz="4" w:space="0"/>
              <w:left w:val="single" w:color="auto" w:sz="4" w:space="0"/>
              <w:bottom w:val="single" w:color="auto" w:sz="4" w:space="0"/>
              <w:right w:val="single" w:color="auto" w:sz="4" w:space="0"/>
            </w:tcBorders>
            <w:noWrap w:val="0"/>
            <w:vAlign w:val="center"/>
          </w:tcPr>
          <w:p w14:paraId="3E06EC41">
            <w:pPr>
              <w:widowControl w:val="0"/>
              <w:overflowPunct w:val="0"/>
              <w:autoSpaceDE w:val="0"/>
              <w:autoSpaceDN w:val="0"/>
              <w:adjustRightInd w:val="0"/>
              <w:spacing w:line="320" w:lineRule="exact"/>
              <w:jc w:val="center"/>
              <w:textAlignment w:val="baseline"/>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所属类别</w:t>
            </w:r>
          </w:p>
        </w:tc>
        <w:tc>
          <w:tcPr>
            <w:tcW w:w="7171" w:type="dxa"/>
            <w:gridSpan w:val="4"/>
            <w:tcBorders>
              <w:top w:val="single" w:color="auto" w:sz="4" w:space="0"/>
              <w:left w:val="single" w:color="auto" w:sz="4" w:space="0"/>
              <w:bottom w:val="single" w:color="auto" w:sz="4" w:space="0"/>
              <w:right w:val="single" w:color="auto" w:sz="4" w:space="0"/>
            </w:tcBorders>
            <w:noWrap w:val="0"/>
            <w:vAlign w:val="center"/>
          </w:tcPr>
          <w:p w14:paraId="396F6EE1">
            <w:pPr>
              <w:widowControl w:val="0"/>
              <w:overflowPunct w:val="0"/>
              <w:autoSpaceDE w:val="0"/>
              <w:autoSpaceDN w:val="0"/>
              <w:adjustRightInd w:val="0"/>
              <w:spacing w:line="300" w:lineRule="exact"/>
              <w:jc w:val="left"/>
              <w:textAlignment w:val="baseline"/>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bCs/>
                <w:kern w:val="0"/>
                <w:sz w:val="28"/>
                <w:szCs w:val="28"/>
              </w:rPr>
              <w:t>□</w:t>
            </w:r>
            <w:r>
              <w:rPr>
                <w:rFonts w:hint="eastAsia" w:ascii="仿宋_GB2312" w:hAnsi="仿宋_GB2312" w:eastAsia="仿宋_GB2312" w:cs="仿宋_GB2312"/>
                <w:color w:val="000000"/>
                <w:kern w:val="0"/>
                <w:sz w:val="28"/>
                <w:szCs w:val="28"/>
              </w:rPr>
              <w:t>科普作品传播（○图书 ○视频 ○其他</w:t>
            </w:r>
            <w:r>
              <w:rPr>
                <w:rFonts w:hint="eastAsia" w:ascii="仿宋_GB2312" w:hAnsi="仿宋_GB2312" w:eastAsia="仿宋_GB2312" w:cs="仿宋_GB2312"/>
                <w:color w:val="000000"/>
                <w:kern w:val="0"/>
                <w:sz w:val="28"/>
                <w:szCs w:val="28"/>
                <w:u w:val="single"/>
              </w:rPr>
              <w:t xml:space="preserve">           </w:t>
            </w:r>
            <w:r>
              <w:rPr>
                <w:rFonts w:hint="eastAsia" w:ascii="仿宋_GB2312" w:hAnsi="仿宋_GB2312" w:eastAsia="仿宋_GB2312" w:cs="仿宋_GB2312"/>
                <w:color w:val="000000"/>
                <w:kern w:val="0"/>
                <w:sz w:val="28"/>
                <w:szCs w:val="28"/>
              </w:rPr>
              <w:t>）</w:t>
            </w:r>
          </w:p>
          <w:p w14:paraId="725CFCEF">
            <w:pPr>
              <w:widowControl w:val="0"/>
              <w:overflowPunct w:val="0"/>
              <w:autoSpaceDE w:val="0"/>
              <w:autoSpaceDN w:val="0"/>
              <w:adjustRightInd w:val="0"/>
              <w:spacing w:line="300" w:lineRule="exact"/>
              <w:jc w:val="left"/>
              <w:textAlignment w:val="baseline"/>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bCs/>
                <w:kern w:val="0"/>
                <w:sz w:val="28"/>
                <w:szCs w:val="28"/>
              </w:rPr>
              <w:t>□</w:t>
            </w:r>
            <w:r>
              <w:rPr>
                <w:rFonts w:hint="eastAsia" w:ascii="仿宋_GB2312" w:hAnsi="仿宋_GB2312" w:eastAsia="仿宋_GB2312" w:cs="仿宋_GB2312"/>
                <w:color w:val="000000"/>
                <w:kern w:val="0"/>
                <w:sz w:val="28"/>
                <w:szCs w:val="28"/>
              </w:rPr>
              <w:t>科普活动服务（○科普讲座 ○科学实验 ○科普剧目 ○科普游戏 ○综合活动 ○其他</w:t>
            </w:r>
            <w:r>
              <w:rPr>
                <w:rFonts w:hint="eastAsia" w:ascii="仿宋_GB2312" w:hAnsi="仿宋_GB2312" w:eastAsia="仿宋_GB2312" w:cs="仿宋_GB2312"/>
                <w:color w:val="000000"/>
                <w:kern w:val="0"/>
                <w:sz w:val="28"/>
                <w:szCs w:val="28"/>
                <w:u w:val="single"/>
              </w:rPr>
              <w:t xml:space="preserve">           </w:t>
            </w:r>
            <w:r>
              <w:rPr>
                <w:rFonts w:hint="eastAsia" w:ascii="仿宋_GB2312" w:hAnsi="仿宋_GB2312" w:eastAsia="仿宋_GB2312" w:cs="仿宋_GB2312"/>
                <w:color w:val="000000"/>
                <w:kern w:val="0"/>
                <w:sz w:val="28"/>
                <w:szCs w:val="28"/>
              </w:rPr>
              <w:t>）</w:t>
            </w:r>
          </w:p>
          <w:p w14:paraId="0370B72E">
            <w:pPr>
              <w:widowControl w:val="0"/>
              <w:overflowPunct w:val="0"/>
              <w:autoSpaceDE w:val="0"/>
              <w:autoSpaceDN w:val="0"/>
              <w:adjustRightInd w:val="0"/>
              <w:spacing w:line="300" w:lineRule="exact"/>
              <w:jc w:val="left"/>
              <w:textAlignment w:val="baseline"/>
              <w:rPr>
                <w:rFonts w:hint="eastAsia" w:ascii="仿宋_GB2312" w:hAnsi="仿宋_GB2312" w:eastAsia="仿宋_GB2312" w:cs="仿宋_GB2312"/>
                <w:color w:val="000000"/>
                <w:kern w:val="0"/>
                <w:sz w:val="28"/>
                <w:szCs w:val="28"/>
                <w:u w:val="single"/>
              </w:rPr>
            </w:pPr>
            <w:r>
              <w:rPr>
                <w:rFonts w:hint="eastAsia" w:ascii="仿宋_GB2312" w:hAnsi="仿宋_GB2312" w:eastAsia="仿宋_GB2312" w:cs="仿宋_GB2312"/>
                <w:bCs/>
                <w:kern w:val="0"/>
                <w:sz w:val="28"/>
                <w:szCs w:val="28"/>
              </w:rPr>
              <w:t>□</w:t>
            </w:r>
            <w:r>
              <w:rPr>
                <w:rFonts w:hint="eastAsia" w:ascii="仿宋_GB2312" w:hAnsi="仿宋_GB2312" w:eastAsia="仿宋_GB2312" w:cs="仿宋_GB2312"/>
                <w:color w:val="000000"/>
                <w:kern w:val="0"/>
                <w:sz w:val="28"/>
                <w:szCs w:val="28"/>
              </w:rPr>
              <w:t>科普阵地建设（○科技馆 ○科技类博物馆 ○全国科普教育基地 ○科技小院 ○实验室 ○生产线 ○其他</w:t>
            </w:r>
            <w:r>
              <w:rPr>
                <w:rFonts w:hint="eastAsia" w:ascii="仿宋_GB2312" w:hAnsi="仿宋_GB2312" w:eastAsia="仿宋_GB2312" w:cs="仿宋_GB2312"/>
                <w:color w:val="000000"/>
                <w:kern w:val="0"/>
                <w:sz w:val="28"/>
                <w:szCs w:val="28"/>
                <w:u w:val="single"/>
              </w:rPr>
              <w:t xml:space="preserve">           </w:t>
            </w:r>
            <w:r>
              <w:rPr>
                <w:rFonts w:hint="eastAsia" w:ascii="仿宋_GB2312" w:hAnsi="仿宋_GB2312" w:eastAsia="仿宋_GB2312" w:cs="仿宋_GB2312"/>
                <w:color w:val="000000"/>
                <w:kern w:val="0"/>
                <w:sz w:val="28"/>
                <w:szCs w:val="28"/>
              </w:rPr>
              <w:t>）</w:t>
            </w:r>
          </w:p>
        </w:tc>
      </w:tr>
      <w:tr w14:paraId="208BC9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80" w:hRule="atLeast"/>
          <w:jc w:val="center"/>
        </w:trPr>
        <w:tc>
          <w:tcPr>
            <w:tcW w:w="1679" w:type="dxa"/>
            <w:vMerge w:val="restart"/>
            <w:tcBorders>
              <w:top w:val="single" w:color="auto" w:sz="4" w:space="0"/>
              <w:left w:val="single" w:color="auto" w:sz="4" w:space="0"/>
              <w:right w:val="single" w:color="auto" w:sz="4" w:space="0"/>
            </w:tcBorders>
            <w:noWrap w:val="0"/>
            <w:vAlign w:val="center"/>
          </w:tcPr>
          <w:p w14:paraId="3DDCA777">
            <w:pPr>
              <w:widowControl w:val="0"/>
              <w:overflowPunct w:val="0"/>
              <w:autoSpaceDE w:val="0"/>
              <w:autoSpaceDN w:val="0"/>
              <w:adjustRightInd w:val="0"/>
              <w:spacing w:line="320" w:lineRule="exact"/>
              <w:jc w:val="center"/>
              <w:textAlignment w:val="baseline"/>
              <w:rPr>
                <w:rFonts w:ascii="宋体" w:hAnsi="宋体" w:eastAsia="宋体" w:cs="Times New Roman"/>
                <w:color w:val="000000"/>
                <w:kern w:val="0"/>
                <w:sz w:val="28"/>
                <w:szCs w:val="28"/>
              </w:rPr>
            </w:pPr>
            <w:r>
              <w:rPr>
                <w:rFonts w:hint="eastAsia" w:ascii="仿宋_GB2312" w:hAnsi="仿宋_GB2312" w:eastAsia="仿宋_GB2312" w:cs="仿宋_GB2312"/>
                <w:color w:val="000000"/>
                <w:kern w:val="0"/>
                <w:sz w:val="28"/>
                <w:szCs w:val="28"/>
              </w:rPr>
              <w:t>案例材料</w:t>
            </w:r>
          </w:p>
        </w:tc>
        <w:tc>
          <w:tcPr>
            <w:tcW w:w="7171" w:type="dxa"/>
            <w:gridSpan w:val="4"/>
            <w:tcBorders>
              <w:top w:val="single" w:color="auto" w:sz="4" w:space="0"/>
              <w:left w:val="single" w:color="auto" w:sz="4" w:space="0"/>
              <w:bottom w:val="single" w:color="auto" w:sz="4" w:space="0"/>
              <w:right w:val="single" w:color="auto" w:sz="4" w:space="0"/>
            </w:tcBorders>
            <w:noWrap w:val="0"/>
            <w:vAlign w:val="top"/>
          </w:tcPr>
          <w:p w14:paraId="35491D07">
            <w:pPr>
              <w:widowControl w:val="0"/>
              <w:overflowPunct w:val="0"/>
              <w:autoSpaceDE w:val="0"/>
              <w:autoSpaceDN w:val="0"/>
              <w:adjustRightInd w:val="0"/>
              <w:spacing w:line="320" w:lineRule="exact"/>
              <w:textAlignment w:val="baseline"/>
              <w:rPr>
                <w:rFonts w:ascii="宋体" w:hAnsi="宋体" w:eastAsia="宋体" w:cs="Times New Roman"/>
                <w:color w:val="000000"/>
                <w:kern w:val="0"/>
                <w:sz w:val="28"/>
                <w:szCs w:val="28"/>
              </w:rPr>
            </w:pPr>
            <w:r>
              <w:rPr>
                <w:rFonts w:hint="eastAsia" w:ascii="仿宋_GB2312" w:hAnsi="仿宋_GB2312" w:eastAsia="仿宋_GB2312" w:cs="仿宋_GB2312"/>
                <w:color w:val="000000"/>
                <w:kern w:val="0"/>
                <w:sz w:val="28"/>
                <w:szCs w:val="28"/>
              </w:rPr>
              <w:t>简要概述：</w:t>
            </w:r>
            <w:r>
              <w:rPr>
                <w:rFonts w:hint="eastAsia" w:ascii="楷体_GB2312" w:hAnsi="楷体" w:eastAsia="楷体_GB2312" w:cs="Times New Roman"/>
                <w:color w:val="7F7F7F"/>
                <w:kern w:val="0"/>
                <w:sz w:val="28"/>
                <w:szCs w:val="28"/>
              </w:rPr>
              <w:t>（</w:t>
            </w:r>
            <w:r>
              <w:rPr>
                <w:rFonts w:ascii="楷体_GB2312" w:hAnsi="楷体" w:eastAsia="楷体_GB2312" w:cs="Times New Roman"/>
                <w:color w:val="7F7F7F"/>
                <w:kern w:val="0"/>
                <w:sz w:val="28"/>
                <w:szCs w:val="28"/>
              </w:rPr>
              <w:t>5</w:t>
            </w:r>
            <w:r>
              <w:rPr>
                <w:rFonts w:hint="eastAsia" w:ascii="楷体_GB2312" w:hAnsi="楷体" w:eastAsia="楷体_GB2312" w:cs="Times New Roman"/>
                <w:color w:val="7F7F7F"/>
                <w:kern w:val="0"/>
                <w:sz w:val="28"/>
                <w:szCs w:val="28"/>
              </w:rPr>
              <w:t>00字以</w:t>
            </w:r>
            <w:r>
              <w:rPr>
                <w:rFonts w:ascii="楷体_GB2312" w:hAnsi="楷体" w:eastAsia="楷体_GB2312" w:cs="Times New Roman"/>
                <w:color w:val="7F7F7F"/>
                <w:kern w:val="0"/>
                <w:sz w:val="28"/>
                <w:szCs w:val="28"/>
              </w:rPr>
              <w:t>内</w:t>
            </w:r>
            <w:r>
              <w:rPr>
                <w:rFonts w:hint="eastAsia" w:ascii="楷体_GB2312" w:hAnsi="楷体" w:eastAsia="楷体_GB2312" w:cs="Times New Roman"/>
                <w:color w:val="7F7F7F"/>
                <w:kern w:val="0"/>
                <w:sz w:val="28"/>
                <w:szCs w:val="28"/>
              </w:rPr>
              <w:t>）</w:t>
            </w:r>
          </w:p>
        </w:tc>
      </w:tr>
      <w:tr w14:paraId="4CB4B3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1679" w:type="dxa"/>
            <w:vMerge w:val="continue"/>
            <w:tcBorders>
              <w:left w:val="single" w:color="auto" w:sz="4" w:space="0"/>
              <w:right w:val="single" w:color="auto" w:sz="4" w:space="0"/>
            </w:tcBorders>
            <w:noWrap w:val="0"/>
            <w:vAlign w:val="center"/>
          </w:tcPr>
          <w:p w14:paraId="37DC3D06">
            <w:pPr>
              <w:widowControl w:val="0"/>
              <w:overflowPunct w:val="0"/>
              <w:autoSpaceDE w:val="0"/>
              <w:autoSpaceDN w:val="0"/>
              <w:adjustRightInd w:val="0"/>
              <w:spacing w:line="360" w:lineRule="exact"/>
              <w:jc w:val="center"/>
              <w:textAlignment w:val="baseline"/>
              <w:rPr>
                <w:rFonts w:ascii="宋体" w:hAnsi="宋体" w:eastAsia="宋体" w:cs="Times New Roman"/>
                <w:color w:val="000000"/>
                <w:kern w:val="0"/>
                <w:sz w:val="28"/>
                <w:szCs w:val="28"/>
              </w:rPr>
            </w:pPr>
          </w:p>
        </w:tc>
        <w:tc>
          <w:tcPr>
            <w:tcW w:w="7171" w:type="dxa"/>
            <w:gridSpan w:val="4"/>
            <w:tcBorders>
              <w:top w:val="single" w:color="auto" w:sz="4" w:space="0"/>
              <w:left w:val="single" w:color="auto" w:sz="4" w:space="0"/>
              <w:bottom w:val="nil"/>
              <w:right w:val="single" w:color="auto" w:sz="4" w:space="0"/>
            </w:tcBorders>
            <w:noWrap w:val="0"/>
            <w:vAlign w:val="top"/>
          </w:tcPr>
          <w:p w14:paraId="1C18B893">
            <w:pPr>
              <w:widowControl w:val="0"/>
              <w:overflowPunct w:val="0"/>
              <w:autoSpaceDE w:val="0"/>
              <w:autoSpaceDN w:val="0"/>
              <w:adjustRightInd w:val="0"/>
              <w:spacing w:line="320" w:lineRule="exact"/>
              <w:textAlignment w:val="baseline"/>
              <w:rPr>
                <w:rFonts w:ascii="楷体_GB2312" w:hAnsi="楷体" w:eastAsia="楷体_GB2312" w:cs="Times New Roman"/>
                <w:color w:val="000000"/>
                <w:kern w:val="0"/>
                <w:sz w:val="28"/>
                <w:szCs w:val="28"/>
              </w:rPr>
            </w:pPr>
            <w:r>
              <w:rPr>
                <w:rFonts w:hint="eastAsia" w:ascii="仿宋_GB2312" w:hAnsi="仿宋_GB2312" w:eastAsia="仿宋_GB2312" w:cs="仿宋_GB2312"/>
                <w:color w:val="000000"/>
                <w:kern w:val="0"/>
                <w:sz w:val="28"/>
                <w:szCs w:val="28"/>
              </w:rPr>
              <w:t>相关媒体报道名称和链接：</w:t>
            </w:r>
            <w:r>
              <w:rPr>
                <w:rFonts w:hint="eastAsia" w:ascii="楷体_GB2312" w:hAnsi="楷体" w:eastAsia="楷体_GB2312" w:cs="Times New Roman"/>
                <w:color w:val="7F7F7F"/>
                <w:kern w:val="0"/>
                <w:sz w:val="28"/>
                <w:szCs w:val="28"/>
              </w:rPr>
              <w:t>（3篇以内）</w:t>
            </w:r>
          </w:p>
        </w:tc>
      </w:tr>
      <w:tr w14:paraId="46251C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1" w:hRule="atLeast"/>
          <w:jc w:val="center"/>
        </w:trPr>
        <w:tc>
          <w:tcPr>
            <w:tcW w:w="1679" w:type="dxa"/>
            <w:vMerge w:val="continue"/>
            <w:tcBorders>
              <w:left w:val="single" w:color="auto" w:sz="4" w:space="0"/>
              <w:right w:val="single" w:color="auto" w:sz="4" w:space="0"/>
            </w:tcBorders>
            <w:noWrap w:val="0"/>
            <w:vAlign w:val="center"/>
          </w:tcPr>
          <w:p w14:paraId="2F029BF7">
            <w:pPr>
              <w:widowControl w:val="0"/>
              <w:overflowPunct w:val="0"/>
              <w:autoSpaceDE w:val="0"/>
              <w:autoSpaceDN w:val="0"/>
              <w:adjustRightInd w:val="0"/>
              <w:spacing w:line="360" w:lineRule="exact"/>
              <w:jc w:val="center"/>
              <w:textAlignment w:val="baseline"/>
              <w:rPr>
                <w:rFonts w:ascii="宋体" w:hAnsi="宋体" w:eastAsia="宋体" w:cs="Times New Roman"/>
                <w:color w:val="000000"/>
                <w:kern w:val="0"/>
                <w:sz w:val="28"/>
                <w:szCs w:val="28"/>
              </w:rPr>
            </w:pPr>
          </w:p>
        </w:tc>
        <w:tc>
          <w:tcPr>
            <w:tcW w:w="7171" w:type="dxa"/>
            <w:gridSpan w:val="4"/>
            <w:tcBorders>
              <w:top w:val="single" w:color="auto" w:sz="4" w:space="0"/>
              <w:left w:val="single" w:color="auto" w:sz="4" w:space="0"/>
              <w:bottom w:val="nil"/>
              <w:right w:val="single" w:color="auto" w:sz="4" w:space="0"/>
            </w:tcBorders>
            <w:noWrap w:val="0"/>
            <w:vAlign w:val="top"/>
          </w:tcPr>
          <w:p w14:paraId="6B1A1A8D">
            <w:pPr>
              <w:widowControl w:val="0"/>
              <w:overflowPunct w:val="0"/>
              <w:autoSpaceDE w:val="0"/>
              <w:autoSpaceDN w:val="0"/>
              <w:adjustRightInd w:val="0"/>
              <w:spacing w:line="320" w:lineRule="exact"/>
              <w:textAlignment w:val="baseline"/>
              <w:rPr>
                <w:rFonts w:ascii="楷体_GB2312" w:hAnsi="楷体" w:eastAsia="楷体_GB2312" w:cs="Times New Roman"/>
                <w:color w:val="000000"/>
                <w:kern w:val="0"/>
                <w:sz w:val="28"/>
                <w:szCs w:val="28"/>
              </w:rPr>
            </w:pPr>
            <w:r>
              <w:rPr>
                <w:rFonts w:hint="eastAsia" w:ascii="仿宋_GB2312" w:hAnsi="仿宋_GB2312" w:eastAsia="仿宋_GB2312" w:cs="仿宋_GB2312"/>
                <w:color w:val="000000"/>
                <w:kern w:val="0"/>
                <w:sz w:val="28"/>
                <w:szCs w:val="28"/>
              </w:rPr>
              <w:t>获奖情况：</w:t>
            </w:r>
            <w:r>
              <w:rPr>
                <w:rFonts w:hint="eastAsia" w:ascii="楷体_GB2312" w:hAnsi="楷体" w:eastAsia="楷体_GB2312" w:cs="Times New Roman"/>
                <w:color w:val="7F7F7F"/>
                <w:kern w:val="0"/>
                <w:sz w:val="28"/>
                <w:szCs w:val="28"/>
              </w:rPr>
              <w:t>（需上传证明材料）</w:t>
            </w:r>
          </w:p>
        </w:tc>
      </w:tr>
      <w:tr w14:paraId="78B45A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34" w:hRule="atLeast"/>
          <w:jc w:val="center"/>
        </w:trPr>
        <w:tc>
          <w:tcPr>
            <w:tcW w:w="1679" w:type="dxa"/>
            <w:vMerge w:val="continue"/>
            <w:tcBorders>
              <w:left w:val="single" w:color="auto" w:sz="4" w:space="0"/>
              <w:bottom w:val="single" w:color="auto" w:sz="4" w:space="0"/>
              <w:right w:val="single" w:color="auto" w:sz="4" w:space="0"/>
            </w:tcBorders>
            <w:noWrap w:val="0"/>
            <w:vAlign w:val="center"/>
          </w:tcPr>
          <w:p w14:paraId="0E681E99">
            <w:pPr>
              <w:widowControl w:val="0"/>
              <w:overflowPunct w:val="0"/>
              <w:autoSpaceDE w:val="0"/>
              <w:autoSpaceDN w:val="0"/>
              <w:adjustRightInd w:val="0"/>
              <w:spacing w:line="360" w:lineRule="exact"/>
              <w:jc w:val="center"/>
              <w:textAlignment w:val="baseline"/>
              <w:rPr>
                <w:rFonts w:ascii="宋体" w:hAnsi="宋体" w:eastAsia="宋体" w:cs="Times New Roman"/>
                <w:color w:val="000000"/>
                <w:kern w:val="0"/>
                <w:sz w:val="28"/>
                <w:szCs w:val="28"/>
              </w:rPr>
            </w:pPr>
          </w:p>
        </w:tc>
        <w:tc>
          <w:tcPr>
            <w:tcW w:w="7171" w:type="dxa"/>
            <w:gridSpan w:val="4"/>
            <w:tcBorders>
              <w:top w:val="single" w:color="auto" w:sz="4" w:space="0"/>
              <w:left w:val="single" w:color="auto" w:sz="4" w:space="0"/>
              <w:bottom w:val="single" w:color="auto" w:sz="4" w:space="0"/>
              <w:right w:val="single" w:color="auto" w:sz="4" w:space="0"/>
            </w:tcBorders>
            <w:noWrap w:val="0"/>
            <w:vAlign w:val="top"/>
          </w:tcPr>
          <w:p w14:paraId="37BBB194">
            <w:pPr>
              <w:widowControl/>
              <w:overflowPunct/>
              <w:autoSpaceDE/>
              <w:autoSpaceDN/>
              <w:adjustRightInd/>
              <w:spacing w:line="320" w:lineRule="exact"/>
              <w:textAlignment w:val="auto"/>
              <w:rPr>
                <w:rFonts w:hint="eastAsia" w:ascii="宋体" w:hAnsi="宋体" w:eastAsia="宋体" w:cs="Times New Roman"/>
                <w:sz w:val="18"/>
                <w:szCs w:val="18"/>
                <w:lang w:val="en-US" w:eastAsia="zh-CN" w:bidi="ar-SA"/>
              </w:rPr>
            </w:pPr>
            <w:r>
              <w:rPr>
                <w:rFonts w:hint="eastAsia" w:ascii="仿宋_GB2312" w:hAnsi="仿宋_GB2312" w:eastAsia="仿宋_GB2312" w:cs="仿宋_GB2312"/>
                <w:color w:val="000000"/>
                <w:kern w:val="0"/>
                <w:sz w:val="28"/>
                <w:szCs w:val="28"/>
              </w:rPr>
              <w:t>详细材料：</w:t>
            </w:r>
            <w:r>
              <w:rPr>
                <w:rFonts w:hint="eastAsia" w:ascii="楷体_GB2312" w:hAnsi="楷体" w:eastAsia="楷体_GB2312" w:cs="Times New Roman"/>
                <w:color w:val="7F7F7F"/>
                <w:kern w:val="0"/>
                <w:sz w:val="28"/>
                <w:szCs w:val="28"/>
              </w:rPr>
              <w:t>（</w:t>
            </w:r>
            <w:r>
              <w:rPr>
                <w:rFonts w:ascii="楷体_GB2312" w:hAnsi="楷体" w:eastAsia="楷体_GB2312" w:cs="Times New Roman"/>
                <w:color w:val="7F7F7F"/>
                <w:kern w:val="0"/>
                <w:sz w:val="28"/>
                <w:szCs w:val="28"/>
              </w:rPr>
              <w:t>3</w:t>
            </w:r>
            <w:r>
              <w:rPr>
                <w:rFonts w:hint="eastAsia" w:ascii="楷体_GB2312" w:hAnsi="楷体" w:eastAsia="楷体_GB2312" w:cs="Times New Roman"/>
                <w:color w:val="7F7F7F"/>
                <w:kern w:val="0"/>
                <w:sz w:val="28"/>
                <w:szCs w:val="28"/>
              </w:rPr>
              <w:t>000字</w:t>
            </w:r>
            <w:r>
              <w:rPr>
                <w:rFonts w:ascii="楷体_GB2312" w:hAnsi="楷体" w:eastAsia="楷体_GB2312" w:cs="Times New Roman"/>
                <w:color w:val="7F7F7F"/>
                <w:kern w:val="0"/>
                <w:sz w:val="28"/>
                <w:szCs w:val="28"/>
              </w:rPr>
              <w:t>以内</w:t>
            </w:r>
            <w:r>
              <w:rPr>
                <w:rFonts w:hint="eastAsia" w:ascii="楷体_GB2312" w:hAnsi="楷体" w:eastAsia="楷体_GB2312" w:cs="Times New Roman"/>
                <w:color w:val="7F7F7F"/>
                <w:kern w:val="0"/>
                <w:sz w:val="28"/>
                <w:szCs w:val="28"/>
              </w:rPr>
              <w:t>，详细材料应突出科普工作亮点、成效、量化指标及对比性数据呈现，避免追求全面而内容过于宽泛，如有相关视频、图片、文档可上传。建议框架：实施、应用及推广情况；成效与创新亮点；经验及思考）</w:t>
            </w:r>
          </w:p>
          <w:p w14:paraId="64543887">
            <w:pPr>
              <w:widowControl w:val="0"/>
              <w:overflowPunct w:val="0"/>
              <w:autoSpaceDE w:val="0"/>
              <w:autoSpaceDN w:val="0"/>
              <w:adjustRightInd w:val="0"/>
              <w:spacing w:beforeAutospacing="1" w:afterAutospacing="1"/>
              <w:jc w:val="both"/>
              <w:textAlignment w:val="baseline"/>
              <w:outlineLvl w:val="2"/>
              <w:rPr>
                <w:rFonts w:hint="eastAsia" w:ascii="宋体" w:hAnsi="宋体" w:eastAsia="宋体" w:cs="Times New Roman"/>
                <w:sz w:val="18"/>
                <w:szCs w:val="18"/>
                <w:lang w:val="en-US" w:eastAsia="zh-CN" w:bidi="ar-SA"/>
              </w:rPr>
            </w:pPr>
          </w:p>
        </w:tc>
      </w:tr>
    </w:tbl>
    <w:p w14:paraId="6D187BBD">
      <w:pPr>
        <w:widowControl w:val="0"/>
        <w:overflowPunct w:val="0"/>
        <w:autoSpaceDE w:val="0"/>
        <w:autoSpaceDN w:val="0"/>
        <w:adjustRightInd w:val="0"/>
        <w:textAlignment w:val="baseline"/>
        <w:rPr>
          <w:rFonts w:hint="eastAsia" w:ascii="黑体" w:hAnsi="黑体" w:eastAsia="黑体" w:cs="黑体"/>
          <w:kern w:val="0"/>
          <w:sz w:val="32"/>
          <w:szCs w:val="32"/>
        </w:rPr>
      </w:pPr>
      <w:r>
        <w:rPr>
          <w:rFonts w:hint="eastAsia" w:ascii="仿宋_GB2312" w:hAnsi="Times New Roman" w:eastAsia="仿宋_GB2312" w:cs="Times New Roman"/>
          <w:color w:val="000000"/>
          <w:kern w:val="0"/>
          <w:sz w:val="24"/>
          <w:szCs w:val="20"/>
        </w:rPr>
        <w:t>（注：该表仅为示例，最终以系统打印表格为准）</w:t>
      </w:r>
    </w:p>
    <w:p w14:paraId="0F8EAEFF">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小标宋">
    <w:altName w:val="方正小标宋简体"/>
    <w:panose1 w:val="03000509000000000000"/>
    <w:charset w:val="86"/>
    <w:family w:val="script"/>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_GBK">
    <w:altName w:val="微软雅黑"/>
    <w:panose1 w:val="02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9C2A4D"/>
    <w:rsid w:val="579C2A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next w:val="1"/>
    <w:unhideWhenUsed/>
    <w:qFormat/>
    <w:uiPriority w:val="0"/>
    <w:pPr>
      <w:keepNext/>
      <w:keepLines/>
      <w:widowControl w:val="0"/>
      <w:adjustRightInd w:val="0"/>
      <w:spacing w:before="240" w:line="300" w:lineRule="auto"/>
      <w:jc w:val="both"/>
      <w:outlineLvl w:val="2"/>
    </w:pPr>
    <w:rPr>
      <w:rFonts w:ascii="Times New Roman" w:hAnsi="Times New Roman" w:eastAsia="黑体" w:cs="Times New Roman"/>
      <w:kern w:val="2"/>
      <w:sz w:val="30"/>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2025-07-03T08:11:00Z</dcterms:created>
  <dc:creator>广东省光学学会办公室</dc:creator>
  <cp:lastModifiedBy>广东省光学学会办公室</cp:lastModifiedBy>
  <dcterms:modified xsi:type="dcterms:W3CDTF">2025-07-03T08:12:02Z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4237BB04D61D43EDB0A539D7EB797AC7_11</vt:lpwstr>
  </property>
  <property fmtid="{D5CDD505-2E9C-101B-9397-08002B2CF9AE}" pid="4" name="KSOTemplateDocerSaveRecord">
    <vt:lpwstr>eyJoZGlkIjoiOWJlOWM4MzU1MTBmMDc5ZjdkZjE1OWY4YmNiNjMxZDYiLCJ1c2VySWQiOiI5OTI0NDc2NjIifQ==</vt:lpwstr>
  </property>
</Properties>
</file>